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25" w:rsidRPr="0064276F" w:rsidRDefault="00E37562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СПРАВКА-ОБОСНОВАНИЕ </w:t>
      </w:r>
    </w:p>
    <w:p w:rsidR="007C0C25" w:rsidRPr="0064276F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 проекту Закона Кыргызской Республики </w:t>
      </w:r>
    </w:p>
    <w:p w:rsidR="002F3B0F" w:rsidRPr="0064276F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«О признании утратившими силу некоторых законодательных актов </w:t>
      </w:r>
    </w:p>
    <w:p w:rsidR="007C0C25" w:rsidRPr="0064276F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Кыргызской Республики»</w:t>
      </w:r>
    </w:p>
    <w:p w:rsidR="007C0C25" w:rsidRPr="0064276F" w:rsidRDefault="007C0C25" w:rsidP="00E37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F3181" w:rsidRPr="0064276F" w:rsidRDefault="007307FF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оптимизации и совершенствования всей законодательной базы, проведения масштабного и качественного ее изменения, основанного на пересмотре </w:t>
      </w:r>
      <w:r w:rsidR="00D82BD6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действующих ценностей и принципов, новых ориентиров и направленного на защиту прав и интересов гражданина и юр</w:t>
      </w:r>
      <w:r w:rsidR="008D5A61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идических лиц </w:t>
      </w:r>
      <w:r w:rsidR="00D82BD6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издан Указ</w:t>
      </w:r>
      <w:r w:rsidR="00763995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Президента Кыргызской Республики </w:t>
      </w:r>
      <w:r w:rsidR="008D5A61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</w:t>
      </w:r>
      <w:r w:rsidR="00763995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«О проведении инвентаризации законодательства Кыргызской Республики»</w:t>
      </w:r>
      <w:r w:rsidR="008D5A61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514FA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</w:t>
      </w:r>
      <w:r w:rsidR="00C72E50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 февраля 2021 года № 26</w:t>
      </w:r>
      <w:r w:rsidR="008D5A61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D5A61" w:rsidRPr="0064276F" w:rsidRDefault="008D5A61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для реализации процедуры масштабной инвентаризации распоряжением Правительства Кыргызской Республики от 10 марта 2021 года № 55-р была образована межведомственная рабочая группа (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далее – МЭГ), в составе которой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были образованы экспертные группы по отраслям законодательства. </w:t>
      </w:r>
    </w:p>
    <w:p w:rsidR="008D5A61" w:rsidRPr="0064276F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определения количества законов, подлежащих инвентаризации, Министерством юстиции </w:t>
      </w:r>
      <w:r w:rsidR="00F01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Кыргызской Республики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 проведен анализ законодательства с 1990 года по 2020 год и определен перечень из 356 законов. Для организации рабочего процесса инвентаризации, приказом Министерства юстиции Кыргызской Республики от 15 апреля 2021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№ 57</w:t>
      </w:r>
      <w:r w:rsidR="00F01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образованы 15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отраслевых подгрупп. В состав данных подгрупп включены представители государственных органов, гражданского общества и независимые эксперты.</w:t>
      </w:r>
    </w:p>
    <w:p w:rsidR="008D5A61" w:rsidRPr="0064276F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Анализ законов осуществлялся на основании Методологии проведения инвентаризации законодательства Кыргызской Республики, которая была утверждена вышеуказанным приказом Министерства юстиции</w:t>
      </w:r>
      <w:r w:rsidR="00F01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D5A61" w:rsidRPr="0064276F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итогам оценки законов на соответствие критериям были сформированы следующие перечни законов: </w:t>
      </w:r>
    </w:p>
    <w:p w:rsidR="008D5A61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</w:t>
      </w:r>
      <w:r w:rsidR="008D5A61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еречень законов, требующие внесения изменения;</w:t>
      </w:r>
    </w:p>
    <w:p w:rsidR="008D5A61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 w:rsidR="00F01B98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законов, предлагаемые признать утратившими силу после принятия новых законов;</w:t>
      </w:r>
    </w:p>
    <w:p w:rsidR="008D5A61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</w:t>
      </w:r>
      <w:r w:rsidR="00F01B98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законов, предлагаемые признать утратившими силу;</w:t>
      </w:r>
    </w:p>
    <w:p w:rsidR="008D5A61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перечень законов</w:t>
      </w:r>
      <w:r w:rsidR="008D5A61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предлагаемые оставить в действующей редакции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8D5A61" w:rsidRPr="0064276F" w:rsidRDefault="00D878A4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заседании МЭГ 7 сентября 2021 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 были утверждены</w:t>
      </w:r>
      <w:r w:rsidR="00F01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оценки к 95 законам и их распределение в соответствии с указанными перечнями.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01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н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основании данных одобренных перечней, 4 закона подлежат признанию утратившими силу: </w:t>
      </w:r>
    </w:p>
    <w:p w:rsidR="00D878A4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Закон Кыргызской Республики «О почтово-сберегательной системе» от 13 августа 2004 года № 119;</w:t>
      </w:r>
    </w:p>
    <w:p w:rsidR="00D878A4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Закон Кыргызской Республики «О юбилейных мероприятиях в Кыргызской Республике» от 11 июня 2007 года № 82;</w:t>
      </w:r>
    </w:p>
    <w:p w:rsidR="00D878A4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Закон Кыргызской Республики «О государственном прогнозировании социально-экономического развития Кыргызской Республики» от 20 февраля 2009 года № 61;</w:t>
      </w:r>
    </w:p>
    <w:p w:rsidR="008D5A61" w:rsidRPr="0064276F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Закон Кыргызской Республики «Об уполномоченном органе в сфере борьбы с экономическими преступлениями» от 2 августа 2018 года № 80.</w:t>
      </w:r>
    </w:p>
    <w:p w:rsidR="008D5A61" w:rsidRPr="0064276F" w:rsidRDefault="00D878A4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законопроектом предлагается указанные законы признать утратившим силу. Данные изменения в законодательстве аргумен</w:t>
      </w:r>
      <w:r w:rsidR="008D0CB6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тируются следующими положениями.</w:t>
      </w:r>
    </w:p>
    <w:p w:rsidR="00C623C5" w:rsidRDefault="00C623C5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2049F" w:rsidRDefault="00F2049F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2049F" w:rsidRDefault="00F2049F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2049F" w:rsidRDefault="00F2049F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878A4" w:rsidRDefault="00D878A4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7643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lastRenderedPageBreak/>
        <w:t>1. Относительно Закон</w:t>
      </w:r>
      <w:r w:rsidR="0011709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</w:t>
      </w:r>
      <w:r w:rsidRPr="007643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Кыргызской Республики «О почтово-сберегательной систем</w:t>
      </w:r>
      <w:r w:rsidR="007643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е»</w:t>
      </w:r>
      <w:r w:rsidRPr="007643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:rsidR="0076438D" w:rsidRPr="0076438D" w:rsidRDefault="0076438D" w:rsidP="0076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еобходимо отметить, что Закон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Кыргызской Республики «О почтово-сберегательной системе» вытекает из Закона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Кыргызской Республики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 почтовой связи».</w:t>
      </w:r>
    </w:p>
    <w:p w:rsidR="0076438D" w:rsidRPr="0076438D" w:rsidRDefault="0076438D" w:rsidP="0076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Отношения в области почтовой связи в Кыргызской Республике регулируются Законом Кыргызской Республики «Об электрической и почтовой связи», Законом Кыргызской Республики «О почтовой связи» и Законом Кыргызской Республики 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 почтово-сберегательной системе»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Так, нормы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Закон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Кыргызской Республики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 почтово-сберегательной системе»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значительной части дублируется с нормами вышеназванных законов, регулирующих одни и те же правоотношения в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почтовой связи Кыргызской Республики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76438D" w:rsidRPr="0076438D" w:rsidRDefault="0076438D" w:rsidP="0076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Закон </w:t>
      </w:r>
      <w:r w:rsidR="00F01B98" w:rsidRP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Кыргызской Республики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 почтовой связи» и Закон Кыргызской Республики «О почт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ово-сберегательной системе» имею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 одну сферу регулирования, тем самым 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возникает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конфликт норм, вышеуказанных законов. </w:t>
      </w:r>
    </w:p>
    <w:p w:rsidR="0076438D" w:rsidRPr="0076438D" w:rsidRDefault="0076438D" w:rsidP="0076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Нормы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аконов Кыргызской Республики «Об электрической и почтовой связи», 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 почтовой связи» и «О почтово-сберегательной системе»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рекомендуется перес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мотреть либо объединить в один закон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вследствие их противоречия между собой.</w:t>
      </w:r>
    </w:p>
    <w:p w:rsidR="0076438D" w:rsidRPr="0076438D" w:rsidRDefault="0076438D" w:rsidP="0076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примеру, </w:t>
      </w:r>
      <w:r w:rsidR="00F01B98"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термин «услуги почтовой связи»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Законе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Кыргызской Республики 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«О почтовой связи» 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предусматривает иное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определение указанного термина нежели в </w:t>
      </w:r>
      <w:r w:rsidR="00F01B98"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Закон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</w:t>
      </w:r>
      <w:r w:rsidR="00F01B98"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Кыргызской Республики «О почтово-сберегательной системе»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F01B98" w:rsidRDefault="0076438D" w:rsidP="0076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Нормами Закона Кыргызской Республики «О почтово-сберегательной системе»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не определена проблема, на решение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которой он направлен. </w:t>
      </w:r>
    </w:p>
    <w:p w:rsidR="0076438D" w:rsidRPr="0076438D" w:rsidRDefault="00F01B98" w:rsidP="0076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Закон </w:t>
      </w:r>
      <w:r w:rsidRP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Кыргызской Республики «О почтово-сберегательной системе»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не определяет общественные отношения, на регулирование которых он направлен. 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r w:rsidR="0076438D"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равовые основы государственного регулирования деятельности в области почтовой связи в Кыргызской Республике, права и обязанности органов государственной власти и местного самоуправления Кыргызской Республики, физических и юридических лиц, а также регулирование правоотношений, возникающие между пользователями услуг почтовой связи и предприятиями почтовой связи, гарантии 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оказания почтовых услуг, свободы</w:t>
      </w:r>
      <w:r w:rsidR="0076438D" w:rsidRPr="007643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транзита, пересылки и доставки почтовых отправлений по всей территории страны, регулируются Законом Кыргызской Республики «О почтовой связи». Более того, действие вышеназванного Закона направлено на обеспечение конституционных прав граждан, физических и юридических лиц всех форм собственности на услуги почтовой связи, передачу и получение информации, денежных средств и материальных ценностей через сеть почтовой связи Кыргызской Республики.</w:t>
      </w:r>
    </w:p>
    <w:p w:rsidR="0076438D" w:rsidRDefault="0076438D" w:rsidP="00764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связи с чем, проектом предлагается признать утратившим силу указанный Закон. </w:t>
      </w:r>
    </w:p>
    <w:p w:rsidR="0076438D" w:rsidRPr="00806E67" w:rsidRDefault="0076438D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D878A4" w:rsidRPr="0064276F" w:rsidRDefault="00D878A4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26A1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2. Относительно Закона Кыргызской Республики «О юбилейных мероприятиях в Кыргызской </w:t>
      </w:r>
      <w:r w:rsidR="007643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Республике».</w:t>
      </w:r>
    </w:p>
    <w:p w:rsidR="0064276F" w:rsidRDefault="0064276F" w:rsidP="0064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ходе проведенного анализа положений Закона было выявлено: </w:t>
      </w:r>
    </w:p>
    <w:p w:rsidR="0064276F" w:rsidRPr="0064276F" w:rsidRDefault="0064276F" w:rsidP="0064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Закон не вытекает из Конституции Кыргызской Республики.</w:t>
      </w:r>
    </w:p>
    <w:p w:rsidR="0064276F" w:rsidRPr="0064276F" w:rsidRDefault="0064276F" w:rsidP="0064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Положения Закона регламентирует 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понятийный аппарат, наименование сторон, имеющих право инициировать юбилейное мероприятие, вопросы финансирования, некоторые ограничения в проведении юбилеев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Н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 практике</w:t>
      </w:r>
      <w:r w:rsidR="00F01B9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Закон 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ориентирован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основном, на юбилейные мероприятия в сфере кул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ьтуры и науки, однако 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согласно статье 7 Закона внести предложение по вопросу празднования юбилея/памятной даты может любое министерство, государственный коми</w:t>
      </w:r>
      <w:r w:rsidR="00AF4F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тет, административное ведомство.</w:t>
      </w:r>
    </w:p>
    <w:p w:rsidR="0064276F" w:rsidRPr="0064276F" w:rsidRDefault="0064276F" w:rsidP="0064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 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Закон не регламентирует цели и задачи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64276F" w:rsidRPr="0064276F" w:rsidRDefault="0064276F" w:rsidP="0064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Н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 практике отсутствуют критерии отбора мероприятий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для включения в перечень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общенациональных юбилеев, что несет в себе коррупционный риск и основание для включения в Перечень абсолютно любого юбилея.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Согласно статье 1 Закона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 юбилейным мероприятием понимаются мероприятия, связанные с празднованием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особо значимых исторических событи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й в жизни народа и государства,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дней 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ождений (в юбилейном году) лиц,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имеющих особые заслуги перед народом, государством, человечеством.</w:t>
      </w: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64276F" w:rsidRPr="0064276F" w:rsidRDefault="0064276F" w:rsidP="00642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основании терминологии, в список предложений к празднованию может попасть любая историческая дата и лица, внесшие вклад, 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мнению инициатора предложения, в связи с чем н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ясно на основании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каких критериев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практике возможно отклонение или принятие того 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 иного предложения.</w:t>
      </w:r>
    </w:p>
    <w:p w:rsidR="0064276F" w:rsidRPr="0064276F" w:rsidRDefault="0064276F" w:rsidP="00642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еречни,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ежегодно утверждаемых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юбилейных мероприятий включают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ся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основном юбилеи в сфере культуры и науки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так в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озникает вопрос в части других направлений и сфер деятельности (помимо науки и культуры), деятели которых также потенциально могут иметь заслуги перед народом (сектор экономики, сельское хозяйство, оборона и т.д.).</w:t>
      </w:r>
    </w:p>
    <w:p w:rsidR="0064276F" w:rsidRDefault="0064276F" w:rsidP="006427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Например, согласно анализу Пер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ечней последних лет, в списке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общенациональных юбилейных мероприятий, превалируют в основном юбилейные мероприятия сферы науки (</w:t>
      </w:r>
      <w:r w:rsidR="00AF4F9E"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частности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Национальной академии наук Кыргызской Республики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и культуры (писатели, художники, артисты, танцоры, режиссёры, композиторы и другие творческие лица), юбилеи в других сферах 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оставляют незначительную долю.</w:t>
      </w:r>
    </w:p>
    <w:p w:rsidR="0064276F" w:rsidRPr="0064276F" w:rsidRDefault="0064276F" w:rsidP="006427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 в 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2017 г – более 80 из 110 - юбилеев, связанных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культурными и научными деятелями (без общенациональных юбилеев), 2019 г. – 14 из 15 (без общенациональных), 2021 –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8 из 10 (без общенациональных).</w:t>
      </w:r>
    </w:p>
    <w:p w:rsidR="0064276F" w:rsidRDefault="0064276F" w:rsidP="006427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Высокая </w:t>
      </w:r>
      <w:r w:rsidR="00F01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затрачиваемость в процессе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реализации Закона. </w:t>
      </w:r>
    </w:p>
    <w:p w:rsidR="0064276F" w:rsidRPr="0064276F" w:rsidRDefault="0064276F" w:rsidP="006427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 видно из практики,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среднем, на проведение одного мероприятия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трачивается около 3-4 миллиона сомов</w:t>
      </w:r>
    </w:p>
    <w:p w:rsidR="0064276F" w:rsidRDefault="0064276F" w:rsidP="00642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 основании изложенного, Закон Кыргызской Республики «О юбилейных мероприятиях»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предлагается признать утратившим силу. </w:t>
      </w:r>
    </w:p>
    <w:p w:rsidR="0064276F" w:rsidRPr="0064276F" w:rsidRDefault="0064276F" w:rsidP="00642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6427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Вместе с тем, в</w:t>
      </w:r>
      <w:r w:rsidRPr="0064276F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целях координации празднования юбилейных и памятных дат, предмет Закона может быть отрегулирован на уровне постановления Кабинета </w:t>
      </w:r>
      <w:r w:rsidR="00F01B98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М</w:t>
      </w:r>
      <w:r w:rsidRPr="0064276F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инистров</w:t>
      </w:r>
      <w:r w:rsidR="00F01B98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Кыргызской Республики</w:t>
      </w:r>
      <w:r w:rsidRPr="0064276F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(регламентация понятийного аппарата, порядка сбора предложений по вопросам формирования перечня общенациональных и региональных юбилейных мероприятий, вопросы празднования корпоративных мероприятий – юбилеев и исторических дат в рамках отраслевого сектора/направления, критерии для не общенациональных мероприятий, на основании которых юбилеи могут быть включены в перечень).</w:t>
      </w:r>
    </w:p>
    <w:p w:rsidR="0076438D" w:rsidRDefault="0076438D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632A7B" w:rsidRPr="0064276F" w:rsidRDefault="00806E67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3</w:t>
      </w:r>
      <w:r w:rsidR="0064276F" w:rsidRPr="006427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. Относительно </w:t>
      </w:r>
      <w:r w:rsidR="00632A7B" w:rsidRPr="006427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Закон</w:t>
      </w:r>
      <w:r w:rsidR="0064276F" w:rsidRPr="006427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</w:t>
      </w:r>
      <w:r w:rsidR="00632A7B" w:rsidRPr="006427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Кыргызской Республики «О государственном прогнозировании социально-экономического </w:t>
      </w:r>
      <w:r w:rsidR="0064276F" w:rsidRPr="006427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развития Кыргызской Республики». </w:t>
      </w:r>
    </w:p>
    <w:p w:rsidR="0064276F" w:rsidRPr="0064276F" w:rsidRDefault="0064276F" w:rsidP="0064276F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Данный Закон </w:t>
      </w:r>
      <w:r w:rsidRPr="006427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определяет цели и содержание системы государственных прогнозов и программ социально-экономического развития Кыргызской Республики, регламентирует общий порядок разработки указанных прогнозов и программ.</w:t>
      </w:r>
    </w:p>
    <w:p w:rsidR="0064276F" w:rsidRDefault="00806E67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рамках проведенного анализа, оценка Закона проводилась</w:t>
      </w:r>
      <w:r w:rsidR="00F01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 том числе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критериям законности и актуальности.</w:t>
      </w:r>
    </w:p>
    <w:p w:rsidR="0064276F" w:rsidRDefault="00806E67" w:rsidP="00806E6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Так, необходимо отметить, что положения данного Законы </w:t>
      </w:r>
      <w:r w:rsidR="00926A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уже отрегулированы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положениями Бюджетного кодекса. Так, статьей 74 Бюджетного кодекса указано, что у</w:t>
      </w:r>
      <w:r w:rsidRPr="00806E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полномоченный государственный орган по экономическому прогнозированию в области регулир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ования бюджетных правоотношений разрабатывает </w:t>
      </w:r>
      <w:r w:rsidRPr="00806E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прогнозы социально-экономического ра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звития Кыргызской Республики.</w:t>
      </w:r>
    </w:p>
    <w:p w:rsidR="00806E67" w:rsidRPr="00806E67" w:rsidRDefault="00806E67" w:rsidP="00806E6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Статьей 80 Бюджетного кодекса Кыргызской Республики отрегулированы положения относительно формирования бюджетов 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</w:t>
      </w:r>
      <w:r w:rsidRPr="00806E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основе прогноза социально-экономического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развития Кыргызской Республики.</w:t>
      </w:r>
    </w:p>
    <w:p w:rsidR="00275CB5" w:rsidRPr="00275CB5" w:rsidRDefault="00275CB5" w:rsidP="00275CB5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Кроме того, статьей 81 указанного кодекса установлено, что </w:t>
      </w:r>
      <w:r w:rsidR="00926A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Pr="00275C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полномоченный государственный орган по экономическому прогнозированию формирует и представляет в </w:t>
      </w:r>
      <w:r w:rsidR="00AF4F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Кабинет Министров</w:t>
      </w:r>
      <w:r w:rsidRPr="00275C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уполномоченный государственный орган прогноз социально-экономического развития Кыргызской Республики в сроки, установленные календарным планом бюджетного процесса.</w:t>
      </w:r>
    </w:p>
    <w:p w:rsidR="00926A15" w:rsidRDefault="00926A15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Ввиду чего, законопроектом предлагается признать утратившим силу данный Закон.</w:t>
      </w:r>
    </w:p>
    <w:p w:rsidR="00F2049F" w:rsidRDefault="00F2049F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D878A4" w:rsidRPr="00806E67" w:rsidRDefault="008D0CB6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C623C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4. </w:t>
      </w:r>
      <w:r w:rsidR="00806E67" w:rsidRPr="00C623C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Относительно З</w:t>
      </w:r>
      <w:r w:rsidRPr="00C623C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акон</w:t>
      </w:r>
      <w:r w:rsidR="00806E67" w:rsidRPr="00C623C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</w:t>
      </w:r>
      <w:r w:rsidRPr="00C623C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Кыргызской Республики «Об уполномоченном органе в сфере борьбы с </w:t>
      </w:r>
      <w:r w:rsidR="00806E67" w:rsidRPr="00C623C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экономическими преступлениями».</w:t>
      </w:r>
    </w:p>
    <w:p w:rsidR="00926A15" w:rsidRDefault="00C623C5" w:rsidP="00AF4F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Постановлением Правительства Кыргызской Республики «</w:t>
      </w:r>
      <w:r w:rsidRPr="00C623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ликвидации Государственной службы по борьбе с экономическими преступлениями при Правительстве Кыргызской Республики (финансовая полиция)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623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 5 марта 2021 года Г</w:t>
      </w:r>
      <w:r w:rsidRPr="00C623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осударственная служба по борьбе с экономическими преступлениями при Правительстве </w:t>
      </w:r>
      <w:r w:rsidRPr="00AF4F9E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 Республики (финансовая полиция) была ликвидирована</w:t>
      </w:r>
      <w:r w:rsidR="00F01B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54F7" w:rsidRDefault="00F01B98" w:rsidP="00AF4F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 тем, анализ Закона «Об уполномоченном государственном органе Кыргызской Республики в сфере борьбы с экономическими преступлениями» показывает, что данный нормативный правовой акт не регламентирует конкретных общественных отношений и объединяет в себе вопросы, которые являются предметом регулирования </w:t>
      </w:r>
      <w:r w:rsidR="000154F7">
        <w:rPr>
          <w:rFonts w:ascii="Times New Roman" w:hAnsi="Times New Roman" w:cs="Times New Roman"/>
          <w:color w:val="000000" w:themeColor="text1"/>
          <w:sz w:val="24"/>
          <w:szCs w:val="24"/>
        </w:rPr>
        <w:t>Закона Кыргызской Республики «</w:t>
      </w:r>
      <w:r w:rsidR="000154F7" w:rsidRPr="000154F7">
        <w:rPr>
          <w:rFonts w:ascii="Times New Roman" w:hAnsi="Times New Roman" w:cs="Times New Roman"/>
          <w:color w:val="000000" w:themeColor="text1"/>
          <w:sz w:val="24"/>
          <w:szCs w:val="24"/>
        </w:rPr>
        <w:t>О прохождении службы в правоохранительных органах Кыргызской Республики</w:t>
      </w:r>
      <w:r w:rsidR="000154F7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C623C5" w:rsidRPr="00AF4F9E" w:rsidRDefault="00C623C5" w:rsidP="00AF4F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4F9E">
        <w:rPr>
          <w:rFonts w:ascii="Times New Roman" w:hAnsi="Times New Roman" w:cs="Times New Roman"/>
          <w:color w:val="000000" w:themeColor="text1"/>
          <w:sz w:val="24"/>
          <w:szCs w:val="24"/>
        </w:rPr>
        <w:t>Ввиду чего, законопроектом предлагается признать утратившим силу Закон Кыргызской Республики «Об уполномоченном органе в сфере борьбы с экономическими преступлениями».</w:t>
      </w:r>
    </w:p>
    <w:p w:rsidR="00AF4F9E" w:rsidRDefault="00AF4F9E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4EC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актам, 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AF4F9E" w:rsidRDefault="00AF4F9E" w:rsidP="00AF4F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4F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Однако, в случае принятия данного законопроекта </w:t>
      </w:r>
      <w:r w:rsidR="00117099">
        <w:rPr>
          <w:rFonts w:ascii="Times New Roman" w:hAnsi="Times New Roman" w:cs="Times New Roman"/>
          <w:color w:val="000000" w:themeColor="text1"/>
          <w:sz w:val="24"/>
          <w:szCs w:val="24"/>
        </w:rPr>
        <w:t>Кабинету Министров необходимо проанализировать свои нормативные правовые акты, которые были приняты на основании законов, предлагаемых к признанию утратившим силу, на предмет их актуальности.</w:t>
      </w:r>
    </w:p>
    <w:p w:rsidR="00F534EC" w:rsidRPr="0064276F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</w:t>
      </w:r>
      <w:r w:rsidR="00C623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будет </w:t>
      </w: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>размещен на официальном сайте Кабинета Министров и на Едином портале общественного обсуждения</w:t>
      </w:r>
      <w:r w:rsidR="00ED3159"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</w:t>
      </w: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F4F9E" w:rsidRPr="0090774C" w:rsidRDefault="00AF4F9E" w:rsidP="00AF4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74C">
        <w:rPr>
          <w:rFonts w:ascii="Times New Roman" w:eastAsia="Times New Roman" w:hAnsi="Times New Roman" w:cs="Times New Roman"/>
          <w:sz w:val="24"/>
          <w:szCs w:val="24"/>
        </w:rPr>
        <w:t>Одновременно информируем, что принятие обозначенного проекта негативных правовых, правозащитных, социальных, экономических, коррупционных, гендерных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экологических</w:t>
      </w:r>
      <w:r w:rsidRPr="0090774C">
        <w:rPr>
          <w:rFonts w:ascii="Times New Roman" w:eastAsia="Times New Roman" w:hAnsi="Times New Roman" w:cs="Times New Roman"/>
          <w:sz w:val="24"/>
          <w:szCs w:val="24"/>
        </w:rPr>
        <w:t xml:space="preserve"> последствий за собой не повлечет.</w:t>
      </w:r>
    </w:p>
    <w:p w:rsidR="00F534EC" w:rsidRPr="0064276F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Дополнительно, отмечаем, что принятие данного законопроекта дополнительных финансовых затрат из государственного бюджета не потребует.</w:t>
      </w:r>
      <w:bookmarkStart w:id="0" w:name="_GoBack"/>
      <w:bookmarkEnd w:id="0"/>
    </w:p>
    <w:sectPr w:rsidR="00F534EC" w:rsidRPr="0064276F" w:rsidSect="00F534EC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>
    <w:nsid w:val="6B3B0DDC"/>
    <w:multiLevelType w:val="hybridMultilevel"/>
    <w:tmpl w:val="5AD87884"/>
    <w:lvl w:ilvl="0" w:tplc="43AEE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9825D0"/>
    <w:multiLevelType w:val="hybridMultilevel"/>
    <w:tmpl w:val="94EE0190"/>
    <w:lvl w:ilvl="0" w:tplc="0419000F">
      <w:start w:val="1"/>
      <w:numFmt w:val="decimal"/>
      <w:lvlText w:val="%1.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F21"/>
    <w:rsid w:val="000154F7"/>
    <w:rsid w:val="000A4089"/>
    <w:rsid w:val="000B3A83"/>
    <w:rsid w:val="00105307"/>
    <w:rsid w:val="00117099"/>
    <w:rsid w:val="0014494E"/>
    <w:rsid w:val="0018631A"/>
    <w:rsid w:val="00275CB5"/>
    <w:rsid w:val="002F3B0F"/>
    <w:rsid w:val="00484EE5"/>
    <w:rsid w:val="004A3F21"/>
    <w:rsid w:val="00506EDC"/>
    <w:rsid w:val="005325BD"/>
    <w:rsid w:val="00577913"/>
    <w:rsid w:val="005C769B"/>
    <w:rsid w:val="005E17E5"/>
    <w:rsid w:val="005F0AC3"/>
    <w:rsid w:val="005F53B7"/>
    <w:rsid w:val="00601A8C"/>
    <w:rsid w:val="00632A7B"/>
    <w:rsid w:val="0064276F"/>
    <w:rsid w:val="0069405C"/>
    <w:rsid w:val="006A3E4B"/>
    <w:rsid w:val="007049FF"/>
    <w:rsid w:val="007307FF"/>
    <w:rsid w:val="00763995"/>
    <w:rsid w:val="0076438D"/>
    <w:rsid w:val="007977D5"/>
    <w:rsid w:val="007C0C25"/>
    <w:rsid w:val="007C0C73"/>
    <w:rsid w:val="00801CD7"/>
    <w:rsid w:val="00806E67"/>
    <w:rsid w:val="00832A88"/>
    <w:rsid w:val="008735AA"/>
    <w:rsid w:val="008D0CB6"/>
    <w:rsid w:val="008D5A61"/>
    <w:rsid w:val="00907598"/>
    <w:rsid w:val="00926A15"/>
    <w:rsid w:val="0094370B"/>
    <w:rsid w:val="009A14DC"/>
    <w:rsid w:val="009B55DC"/>
    <w:rsid w:val="00A51934"/>
    <w:rsid w:val="00A52F70"/>
    <w:rsid w:val="00A871B8"/>
    <w:rsid w:val="00AF4F9E"/>
    <w:rsid w:val="00B33160"/>
    <w:rsid w:val="00B41CBE"/>
    <w:rsid w:val="00B538F8"/>
    <w:rsid w:val="00B626BC"/>
    <w:rsid w:val="00B97D3C"/>
    <w:rsid w:val="00C41EBE"/>
    <w:rsid w:val="00C514FA"/>
    <w:rsid w:val="00C623C5"/>
    <w:rsid w:val="00C72E50"/>
    <w:rsid w:val="00C91877"/>
    <w:rsid w:val="00D521D6"/>
    <w:rsid w:val="00D6170C"/>
    <w:rsid w:val="00D71267"/>
    <w:rsid w:val="00D7357E"/>
    <w:rsid w:val="00D82BD6"/>
    <w:rsid w:val="00D83C5F"/>
    <w:rsid w:val="00D878A4"/>
    <w:rsid w:val="00E37562"/>
    <w:rsid w:val="00E725BB"/>
    <w:rsid w:val="00ED3159"/>
    <w:rsid w:val="00F01B98"/>
    <w:rsid w:val="00F2049F"/>
    <w:rsid w:val="00F534EC"/>
    <w:rsid w:val="00F855DF"/>
    <w:rsid w:val="00FE6F75"/>
    <w:rsid w:val="00FF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25"/>
    <w:pPr>
      <w:ind w:left="720"/>
      <w:contextualSpacing/>
    </w:pPr>
  </w:style>
  <w:style w:type="paragraph" w:styleId="a4">
    <w:name w:val="No Spacing"/>
    <w:uiPriority w:val="1"/>
    <w:qFormat/>
    <w:rsid w:val="000B3A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25"/>
    <w:pPr>
      <w:ind w:left="720"/>
      <w:contextualSpacing/>
    </w:pPr>
  </w:style>
  <w:style w:type="paragraph" w:styleId="a4">
    <w:name w:val="No Spacing"/>
    <w:uiPriority w:val="1"/>
    <w:qFormat/>
    <w:rsid w:val="000B3A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User</cp:lastModifiedBy>
  <cp:revision>47</cp:revision>
  <cp:lastPrinted>2021-09-29T11:38:00Z</cp:lastPrinted>
  <dcterms:created xsi:type="dcterms:W3CDTF">2021-06-18T09:40:00Z</dcterms:created>
  <dcterms:modified xsi:type="dcterms:W3CDTF">2021-10-04T09:13:00Z</dcterms:modified>
</cp:coreProperties>
</file>